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0319" w14:textId="7321C90F" w:rsidR="00E833F1" w:rsidRPr="00685A76" w:rsidRDefault="000E728A" w:rsidP="00E83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72622"/>
          <w:kern w:val="36"/>
          <w:sz w:val="40"/>
          <w:szCs w:val="40"/>
          <w:lang w:eastAsia="ru-RU"/>
        </w:rPr>
      </w:pPr>
      <w:r w:rsidRPr="00685A76">
        <w:rPr>
          <w:rFonts w:ascii="Arial" w:eastAsia="Times New Roman" w:hAnsi="Arial" w:cs="Arial"/>
          <w:b/>
          <w:bCs/>
          <w:color w:val="272622"/>
          <w:kern w:val="36"/>
          <w:sz w:val="40"/>
          <w:szCs w:val="40"/>
          <w:lang w:eastAsia="ru-RU"/>
        </w:rPr>
        <w:t>Семейство Панелей управления</w:t>
      </w:r>
      <w:r w:rsidR="00E833F1" w:rsidRPr="00685A76">
        <w:rPr>
          <w:rFonts w:ascii="Arial" w:eastAsia="Times New Roman" w:hAnsi="Arial" w:cs="Arial"/>
          <w:b/>
          <w:bCs/>
          <w:color w:val="272622"/>
          <w:kern w:val="36"/>
          <w:sz w:val="40"/>
          <w:szCs w:val="40"/>
          <w:lang w:eastAsia="ru-RU"/>
        </w:rPr>
        <w:t xml:space="preserve"> Victron GX</w:t>
      </w:r>
    </w:p>
    <w:p w14:paraId="7F01CDD7" w14:textId="129E27B8" w:rsidR="00E833F1" w:rsidRPr="00685A76" w:rsidRDefault="00E833F1" w:rsidP="00E833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2622"/>
          <w:sz w:val="24"/>
          <w:szCs w:val="24"/>
          <w:lang w:eastAsia="ru-RU"/>
        </w:rPr>
      </w:pPr>
      <w:r w:rsidRPr="00685A76">
        <w:rPr>
          <w:rFonts w:ascii="Arial" w:eastAsia="Times New Roman" w:hAnsi="Arial" w:cs="Arial"/>
          <w:b/>
          <w:bCs/>
          <w:color w:val="272622"/>
          <w:sz w:val="24"/>
          <w:szCs w:val="24"/>
          <w:lang w:eastAsia="ru-RU"/>
        </w:rPr>
        <w:t>Продукты GX - современное решение Victron для мониторинга.</w:t>
      </w:r>
    </w:p>
    <w:p w14:paraId="0342ADDD" w14:textId="5315BADA" w:rsidR="00E833F1" w:rsidRPr="00E833F1" w:rsidRDefault="00E833F1" w:rsidP="00E833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GX-устройство </w:t>
      </w:r>
      <w:r w:rsidR="00685A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-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основ</w:t>
      </w:r>
      <w:r w:rsidR="00685A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а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системы - обеспечивает мониторинг и работает в качестве коммуникационного центра </w:t>
      </w:r>
      <w:r w:rsidR="00E4283D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В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ашей установки. Все остальные компоненты системы, такие как инвертор</w:t>
      </w:r>
      <w:r w:rsidR="00685A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ы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/зарядн</w:t>
      </w:r>
      <w:r w:rsidR="00685A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ые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устройств</w:t>
      </w:r>
      <w:r w:rsidR="00685A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а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, солнечные зарядные устройства и аккумуляторы, подключены к нему. Мониторинг может осуществляться локально и удаленно - через наш бесплатный портал Victron Remote Management (</w:t>
      </w:r>
      <w:r w:rsidR="00E4283D">
        <w:rPr>
          <w:rFonts w:ascii="Arial" w:eastAsia="Times New Roman" w:hAnsi="Arial" w:cs="Arial"/>
          <w:color w:val="272622"/>
          <w:sz w:val="24"/>
          <w:szCs w:val="24"/>
          <w:lang w:val="en-US" w:eastAsia="ru-RU"/>
        </w:rPr>
        <w:t>VRM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). GX-устройство </w:t>
      </w:r>
      <w:r w:rsidR="00685A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также 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обеспечивает</w:t>
      </w:r>
      <w:r w:rsidR="00E4283D" w:rsidRPr="00E4283D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r w:rsidR="00E4283D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дистанционное обновление прошивки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и позволяет</w:t>
      </w:r>
      <w:r w:rsidR="00E4283D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дистанционно изменять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настройки инвертор</w:t>
      </w:r>
      <w:r w:rsidR="00685A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ов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/зарядн</w:t>
      </w:r>
      <w:r w:rsidR="00685A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ых</w:t>
      </w: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устройств.</w:t>
      </w:r>
    </w:p>
    <w:p w14:paraId="3014BB65" w14:textId="77777777" w:rsidR="00E833F1" w:rsidRPr="00685A76" w:rsidRDefault="00E833F1" w:rsidP="00E833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2622"/>
          <w:sz w:val="24"/>
          <w:szCs w:val="24"/>
          <w:lang w:eastAsia="ru-RU"/>
        </w:rPr>
      </w:pPr>
      <w:r w:rsidRPr="00685A76">
        <w:rPr>
          <w:rFonts w:ascii="Arial" w:eastAsia="Times New Roman" w:hAnsi="Arial" w:cs="Arial"/>
          <w:b/>
          <w:bCs/>
          <w:color w:val="272622"/>
          <w:sz w:val="24"/>
          <w:szCs w:val="24"/>
          <w:lang w:eastAsia="ru-RU"/>
        </w:rPr>
        <w:t>Семейство GX состоит из следующих моделей:</w:t>
      </w:r>
    </w:p>
    <w:p w14:paraId="2665EFCE" w14:textId="1401332E" w:rsidR="00E833F1" w:rsidRPr="00E833F1" w:rsidRDefault="00C03A21" w:rsidP="00E833F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Color</w:t>
      </w:r>
      <w:r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Control</w:t>
      </w:r>
      <w:r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GX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наш первый выпущенный продукт GX, CCGX имеет дисплей и кнопки.</w:t>
      </w:r>
    </w:p>
    <w:p w14:paraId="2FAD81B6" w14:textId="32CB4FEC" w:rsidR="00E833F1" w:rsidRPr="00E833F1" w:rsidRDefault="00E833F1" w:rsidP="00E833F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Venus GX </w:t>
      </w:r>
      <w:r w:rsidR="00C03A21"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имеет больше аналогового и цифрового ввода-вывода, без ЖК-дисплея и является более экономичным</w:t>
      </w:r>
      <w:r w:rsidR="00C03A21"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14:paraId="2E55EEB9" w14:textId="568EEAEE" w:rsidR="00E833F1" w:rsidRPr="00E833F1" w:rsidRDefault="00E833F1" w:rsidP="00E833F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CANvu GX </w:t>
      </w:r>
      <w:r w:rsidR="00C03A21" w:rsidRPr="00C03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лучше всего подходит для суровых условий 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 защиты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IP67 и сенсорный ЖК-дисплей.</w:t>
      </w:r>
    </w:p>
    <w:p w14:paraId="31B3ED40" w14:textId="3E8E5049" w:rsidR="00E833F1" w:rsidRPr="00E833F1" w:rsidRDefault="00E833F1" w:rsidP="00E833F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Octo GX 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 подходит для установок среднего размера, которые имеют много солнечных зарядных устройств MPPT, имеет 10 портов VE.Direct.</w:t>
      </w:r>
    </w:p>
    <w:p w14:paraId="13BAF583" w14:textId="77777777" w:rsidR="00A5464E" w:rsidRDefault="00E833F1" w:rsidP="00A5464E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Maxi GX 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имеет большую мощность процессора и больш</w:t>
      </w:r>
      <w:r w:rsid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портов VE.Direct: 25. Это устройство GX, которое следует использовать для больших систем со многими солнечными зарядными устройствами VE.Direct MPPT.</w:t>
      </w:r>
    </w:p>
    <w:p w14:paraId="72C60DDB" w14:textId="0BBAAE3C" w:rsidR="00E833F1" w:rsidRPr="00E833F1" w:rsidRDefault="00E833F1" w:rsidP="00A5464E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Наконец, в наши MultiPlus-II GX и инверторы/зарядные устройства EasySolar-II GX встроено устройство GX.</w:t>
      </w:r>
    </w:p>
    <w:p w14:paraId="330E8D9C" w14:textId="77777777" w:rsidR="00E833F1" w:rsidRPr="00685A76" w:rsidRDefault="00E833F1" w:rsidP="00E8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622"/>
          <w:sz w:val="36"/>
          <w:szCs w:val="36"/>
          <w:lang w:eastAsia="ru-RU"/>
        </w:rPr>
      </w:pPr>
      <w:r w:rsidRPr="00685A76">
        <w:rPr>
          <w:rFonts w:ascii="Arial" w:eastAsia="Times New Roman" w:hAnsi="Arial" w:cs="Arial"/>
          <w:b/>
          <w:bCs/>
          <w:color w:val="272622"/>
          <w:sz w:val="36"/>
          <w:szCs w:val="36"/>
          <w:lang w:eastAsia="ru-RU"/>
        </w:rPr>
        <w:t>Доступные аксессуары</w:t>
      </w:r>
    </w:p>
    <w:p w14:paraId="505B67AC" w14:textId="1736BDB3" w:rsidR="00E833F1" w:rsidRPr="00E833F1" w:rsidRDefault="00A5464E" w:rsidP="00E833F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GX</w:t>
      </w:r>
      <w:r w:rsidRP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GSM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сотовый модем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подключается к 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GX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-устройству через USB и принимает сим-карту</w:t>
      </w:r>
    </w:p>
    <w:p w14:paraId="5DA50EB2" w14:textId="1496B815" w:rsidR="00E833F1" w:rsidRPr="00E833F1" w:rsidRDefault="00A5464E" w:rsidP="00E833F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WiFi  USB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флешки.</w:t>
      </w:r>
    </w:p>
    <w:p w14:paraId="20319B02" w14:textId="115F752B" w:rsidR="00E833F1" w:rsidRPr="00E833F1" w:rsidRDefault="00A5464E" w:rsidP="00E833F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Счетчики энергии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измеряют выход PV инвертора, когда PV инверторы не могут быть считаны напрямую. Также используется в качестве измерительного прибора в системе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хранения энергии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ESS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A145520" w14:textId="6F54CC12" w:rsidR="00E833F1" w:rsidRDefault="00A5464E" w:rsidP="00E833F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Адаптер датчика резистивного бака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VE</w:t>
      </w:r>
      <w:r w:rsidRP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Can</w:t>
      </w:r>
      <w:r w:rsidRPr="00A54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озволяет подключить стандартный резистивный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датчик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уровня бака к устройству 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ru-RU"/>
        </w:rPr>
        <w:t>GX</w:t>
      </w:r>
      <w:r w:rsidR="00E833F1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325AFE0" w14:textId="77D8E197" w:rsidR="00A5464E" w:rsidRDefault="00A5464E" w:rsidP="00A5464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653470E" w14:textId="77777777" w:rsidR="00A5464E" w:rsidRPr="00E833F1" w:rsidRDefault="00A5464E" w:rsidP="00A5464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9126558" w14:textId="77777777" w:rsidR="00E833F1" w:rsidRPr="00685A76" w:rsidRDefault="00E833F1" w:rsidP="00E8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622"/>
          <w:sz w:val="36"/>
          <w:szCs w:val="36"/>
          <w:lang w:eastAsia="ru-RU"/>
        </w:rPr>
      </w:pPr>
      <w:r w:rsidRPr="00685A76">
        <w:rPr>
          <w:rFonts w:ascii="Arial" w:eastAsia="Times New Roman" w:hAnsi="Arial" w:cs="Arial"/>
          <w:b/>
          <w:bCs/>
          <w:color w:val="272622"/>
          <w:sz w:val="36"/>
          <w:szCs w:val="36"/>
          <w:lang w:eastAsia="ru-RU"/>
        </w:rPr>
        <w:lastRenderedPageBreak/>
        <w:t>Сравнительная таблица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1939"/>
        <w:gridCol w:w="1934"/>
        <w:gridCol w:w="1984"/>
        <w:gridCol w:w="1985"/>
        <w:gridCol w:w="1701"/>
        <w:gridCol w:w="1662"/>
      </w:tblGrid>
      <w:tr w:rsidR="00045A2D" w:rsidRPr="00685A76" w14:paraId="2F0240E8" w14:textId="77777777" w:rsidTr="007E45A0">
        <w:trPr>
          <w:tblHeader/>
        </w:trPr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1C6CE12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Пользовательский интерфейс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2DC27A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E95A4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D3A34C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 GX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06C8D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 GX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53120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5E78C6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MultiPlus-II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EasySolar-II GX</w:t>
            </w:r>
          </w:p>
        </w:tc>
      </w:tr>
      <w:tr w:rsidR="00CD21D9" w:rsidRPr="00E833F1" w14:paraId="5DAD1E54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80D6EE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C2295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00592259" wp14:editId="2555A809">
                  <wp:extent cx="698500" cy="768350"/>
                  <wp:effectExtent l="0" t="0" r="6350" b="0"/>
                  <wp:docPr id="1" name="Рисунок 1" descr="https://www.victronenergy.com/live/_media/ccgx:ccgx_product.png?w=100&amp;tok=10a496">
                    <a:hlinkClick xmlns:a="http://schemas.openxmlformats.org/drawingml/2006/main" r:id="rId6" tooltip="&quot;ccgx: ccgx_product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ctronenergy.com/live/_media/ccgx:ccgx_product.png?w=100&amp;tok=10a496">
                            <a:hlinkClick r:id="rId6" tooltip="&quot;ccgx: ccgx_product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69" cy="77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CB920B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455173C0" wp14:editId="3A68DAE4">
                  <wp:extent cx="994832" cy="895350"/>
                  <wp:effectExtent l="0" t="0" r="0" b="0"/>
                  <wp:docPr id="2" name="Рисунок 2" descr="https://www.victronenergy.com/live/_media/ccgx:venusgx_product.png?w=100&amp;tok=ab636e">
                    <a:hlinkClick xmlns:a="http://schemas.openxmlformats.org/drawingml/2006/main" r:id="rId8" tooltip="&quot;ccgx: venusgx_product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ictronenergy.com/live/_media/ccgx:venusgx_product.png?w=100&amp;tok=ab636e">
                            <a:hlinkClick r:id="rId8" tooltip="&quot;ccgx: venusgx_product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13" cy="90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528B6B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00C816C7" wp14:editId="19D93EC7">
                  <wp:extent cx="869950" cy="945346"/>
                  <wp:effectExtent l="0" t="0" r="6350" b="7620"/>
                  <wp:docPr id="3" name="Рисунок 3" descr="https://www.victronenergy.com/live/_media/ccgx:octogx_product.png?w=100&amp;tok=5a9623">
                    <a:hlinkClick xmlns:a="http://schemas.openxmlformats.org/drawingml/2006/main" r:id="rId10" tooltip="&quot;ccgx: octogx_product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ictronenergy.com/live/_media/ccgx:octogx_product.png?w=100&amp;tok=5a9623">
                            <a:hlinkClick r:id="rId10" tooltip="&quot;ccgx: octogx_product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83" cy="94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5F75B9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059E51AE" wp14:editId="185623B9">
                  <wp:extent cx="1161143" cy="812800"/>
                  <wp:effectExtent l="0" t="0" r="1270" b="0"/>
                  <wp:docPr id="4" name="Рисунок 4" descr="https://www.victronenergy.com/live/_media/ccgx:canvu_product.png?w=100&amp;tok=c7afd3">
                    <a:hlinkClick xmlns:a="http://schemas.openxmlformats.org/drawingml/2006/main" r:id="rId12" tooltip="&quot;ccgx: canvu_product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ictronenergy.com/live/_media/ccgx:canvu_product.png?w=100&amp;tok=c7afd3">
                            <a:hlinkClick r:id="rId12" tooltip="&quot;ccgx: canvu_product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36" cy="81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8144AF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72221B09" wp14:editId="524D569D">
                  <wp:extent cx="825996" cy="704850"/>
                  <wp:effectExtent l="0" t="0" r="0" b="0"/>
                  <wp:docPr id="5" name="Рисунок 5" descr="https://www.victronenergy.com/live/_media/venus-os:maxigx.png?w=150&amp;tok=73df5d">
                    <a:hlinkClick xmlns:a="http://schemas.openxmlformats.org/drawingml/2006/main" r:id="rId14" tooltip="&quot;венера-Os: maxigx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ictronenergy.com/live/_media/venus-os:maxigx.png?w=150&amp;tok=73df5d">
                            <a:hlinkClick r:id="rId14" tooltip="&quot;венера-Os: maxigx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17" cy="72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334DA7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noProof/>
                <w:color w:val="2B73B7"/>
                <w:sz w:val="24"/>
                <w:szCs w:val="24"/>
                <w:lang w:eastAsia="ru-RU"/>
              </w:rPr>
              <w:drawing>
                <wp:inline distT="0" distB="0" distL="0" distR="0" wp14:anchorId="7F151941" wp14:editId="6776BF1B">
                  <wp:extent cx="666750" cy="1143000"/>
                  <wp:effectExtent l="0" t="0" r="0" b="0"/>
                  <wp:docPr id="6" name="Рисунок 6" descr="https://www.victronenergy.com/live/_media/ccgx:multiplus-ii-gx.jpg?w=70&amp;tok=cfa928">
                    <a:hlinkClick xmlns:a="http://schemas.openxmlformats.org/drawingml/2006/main" r:id="rId16" tooltip="&quot;ccgx: MultiPlus-II-gx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ictronenergy.com/live/_media/ccgx:multiplus-ii-gx.jpg?w=70&amp;tok=cfa928">
                            <a:hlinkClick r:id="rId16" tooltip="&quot;ccgx: MultiPlus-II-gx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F68" w:rsidRPr="00E833F1" w14:paraId="13CFEEF1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5717154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C15842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ЖК-дисплей и 7 кнопок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7C71F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дисплея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12CCC7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дисплея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EAC28B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4,3-дюймовый сенсорный экран</w:t>
            </w:r>
          </w:p>
        </w:tc>
        <w:tc>
          <w:tcPr>
            <w:tcW w:w="3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DA23B7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16 символьный дисплей</w:t>
            </w:r>
          </w:p>
        </w:tc>
      </w:tr>
      <w:tr w:rsidR="00A5464E" w:rsidRPr="00E833F1" w14:paraId="5710D269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B0E5B8F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Удаленная консоль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DB45C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2F68" w:rsidRPr="00E833F1" w14:paraId="7111055B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B64EE4C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Зуммер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169F8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0F276D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C6524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34E3EE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BD04C6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A2D" w:rsidRPr="00685A76" w14:paraId="64761FFE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E0C9CD" w14:textId="14C6AEC0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Victron комм</w:t>
            </w:r>
            <w:r w:rsidR="00A5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уникационные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порты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AABE9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B5DE5F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4C296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 GX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DCDA6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 GX 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(12)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3B3DC5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19BD0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MultiPlus-II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EasySolar-II GX</w:t>
            </w:r>
          </w:p>
        </w:tc>
      </w:tr>
      <w:tr w:rsidR="00CD21D9" w:rsidRPr="00E833F1" w14:paraId="2601DC09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2B63AAD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Порты VE.Direct (всегда изолированные)</w:t>
            </w:r>
          </w:p>
        </w:tc>
        <w:tc>
          <w:tcPr>
            <w:tcW w:w="3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3F5CBC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983FD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6D679D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0E142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02852E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64E" w:rsidRPr="00E833F1" w14:paraId="636A0D0E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6316DF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VE.Can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471237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параллельных разъема RJ45 - изолированные</w:t>
            </w:r>
          </w:p>
        </w:tc>
      </w:tr>
      <w:tr w:rsidR="007A2F68" w:rsidRPr="00E833F1" w14:paraId="6FC598B5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683ABD9" w14:textId="77777777" w:rsidR="007A2F68" w:rsidRPr="00E833F1" w:rsidRDefault="007A2F68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VE.Bus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21E4EE5" w14:textId="73864AB6" w:rsidR="007A2F68" w:rsidRPr="00E833F1" w:rsidRDefault="007A2F68" w:rsidP="007A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параллельных разъема RJ45 - изолированные</w:t>
            </w:r>
          </w:p>
        </w:tc>
      </w:tr>
      <w:tr w:rsidR="00045A2D" w:rsidRPr="00685A76" w14:paraId="47FE989E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8038B7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Non Victron-продукты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0C79C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DA7C09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938AC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 GX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23F3FF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 GX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F86D55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2B3D4FD" w14:textId="63DF93B2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MultiPlus-II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EasySola</w:t>
            </w:r>
            <w:r w:rsidR="007A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r GX</w:t>
            </w:r>
          </w:p>
        </w:tc>
      </w:tr>
      <w:tr w:rsidR="00A5464E" w:rsidRPr="00E833F1" w14:paraId="56668B1B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D31D3C6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Аккумуляторы Canbus-BMS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B960C66" w14:textId="7E4FC6DC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марки аккумуляторов.</w:t>
            </w:r>
          </w:p>
        </w:tc>
      </w:tr>
      <w:tr w:rsidR="00A5464E" w:rsidRPr="00E833F1" w14:paraId="05A6AF21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6F373C9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Fronius PV Инверторы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ADABDB" w14:textId="2EF739E9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 </w:t>
            </w:r>
            <w:r w:rsidR="007A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продуктов </w:t>
            </w:r>
            <w:r w:rsidR="007A2F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GX</w:t>
            </w:r>
          </w:p>
        </w:tc>
      </w:tr>
      <w:tr w:rsidR="007A2F68" w:rsidRPr="00E833F1" w14:paraId="2A1ED5C9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6992BCD" w14:textId="77777777" w:rsidR="007A2F68" w:rsidRPr="00E833F1" w:rsidRDefault="007A2F68" w:rsidP="007A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 PV Инверторы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D3234C3" w14:textId="656108DA" w:rsidR="007A2F68" w:rsidRPr="00E833F1" w:rsidRDefault="007A2F68" w:rsidP="007A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 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продуктов 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GX</w:t>
            </w:r>
          </w:p>
        </w:tc>
      </w:tr>
      <w:tr w:rsidR="007A2F68" w:rsidRPr="00E833F1" w14:paraId="2B0C7423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FC5BA7" w14:textId="77777777" w:rsidR="007A2F68" w:rsidRPr="00E833F1" w:rsidRDefault="007A2F68" w:rsidP="007A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 PV Инверторы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B551B7E" w14:textId="569D6D55" w:rsidR="007A2F68" w:rsidRPr="00E833F1" w:rsidRDefault="007A2F68" w:rsidP="007A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 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продуктов 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GX</w:t>
            </w:r>
          </w:p>
        </w:tc>
      </w:tr>
      <w:tr w:rsidR="007A2F68" w:rsidRPr="00E833F1" w14:paraId="37AF9BD6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7D02182" w14:textId="77777777" w:rsidR="007A2F68" w:rsidRPr="00E833F1" w:rsidRDefault="007A2F68" w:rsidP="007A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SolarEdge PV Инверторы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6A233F2" w14:textId="7078436C" w:rsidR="007A2F68" w:rsidRPr="00E833F1" w:rsidRDefault="007A2F68" w:rsidP="007A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 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продуктов </w:t>
            </w:r>
            <w:r w:rsidRPr="00690E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GX</w:t>
            </w:r>
          </w:p>
        </w:tc>
      </w:tr>
      <w:tr w:rsidR="00045A2D" w:rsidRPr="00685A76" w14:paraId="796E67EF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6FA412C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связь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9A32C6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3EBF33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DDF5A5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 GX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C9A1DD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 GX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F769CB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66DE6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MultiPlus-II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EasySolar-II GX</w:t>
            </w:r>
          </w:p>
        </w:tc>
      </w:tr>
      <w:tr w:rsidR="007A2F68" w:rsidRPr="00E833F1" w14:paraId="5CB9D553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963237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</w:p>
        </w:tc>
        <w:tc>
          <w:tcPr>
            <w:tcW w:w="3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C111B27" w14:textId="65E99F79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порта USB - не изолированы</w:t>
            </w:r>
          </w:p>
        </w:tc>
        <w:tc>
          <w:tcPr>
            <w:tcW w:w="73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74BA9B1" w14:textId="4341926A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порт USB - не изолирован</w:t>
            </w:r>
          </w:p>
        </w:tc>
      </w:tr>
      <w:tr w:rsidR="00CD21D9" w:rsidRPr="00E833F1" w14:paraId="5ADE5B1F" w14:textId="77777777" w:rsidTr="007E45A0">
        <w:trPr>
          <w:trHeight w:val="596"/>
        </w:trPr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39ABD0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</w:p>
        </w:tc>
        <w:tc>
          <w:tcPr>
            <w:tcW w:w="5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81428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10/100 RJ45 - изолированная, кроме экрана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CE1E11A" w14:textId="0720F635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порт.</w:t>
            </w:r>
            <w:r w:rsidR="007E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(12)</w:t>
            </w:r>
          </w:p>
        </w:tc>
        <w:tc>
          <w:tcPr>
            <w:tcW w:w="3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08574C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 разъем RJ45</w:t>
            </w:r>
          </w:p>
        </w:tc>
      </w:tr>
      <w:tr w:rsidR="00CD21D9" w:rsidRPr="00E833F1" w14:paraId="480BA45A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5AAA20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3D5CB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необязательно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(2)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11C046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встроенный, но см.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(3)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AE17E0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встроенная, внешняя антенна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(11)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7AC4BE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необязательно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E7A3D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857CA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</w:t>
            </w:r>
          </w:p>
        </w:tc>
      </w:tr>
      <w:tr w:rsidR="00A5464E" w:rsidRPr="00E833F1" w14:paraId="2E42B6E1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1ACE571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 Smart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EAE43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2F68" w:rsidRPr="00E833F1" w14:paraId="5C440E9C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06EA17D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Слот для Micro SDcard</w:t>
            </w:r>
          </w:p>
        </w:tc>
        <w:tc>
          <w:tcPr>
            <w:tcW w:w="5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F362AC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SDHC карты до макс. 32 ГБ.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(5)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12E8A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73636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1B8092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21D9" w:rsidRPr="00E833F1" w14:paraId="6F20B691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9F150A9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порт CAN-шины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9B0430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A074E82" w14:textId="251357CC" w:rsidR="00E833F1" w:rsidRPr="00E833F1" w:rsidRDefault="00045A2D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E833F1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833F1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неизолир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55BC6A5" w14:textId="3098B6B5" w:rsidR="00E833F1" w:rsidRPr="00E833F1" w:rsidRDefault="00045A2D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E833F1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неизолир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E04D55" w14:textId="10DA522B" w:rsidR="00E833F1" w:rsidRPr="00E833F1" w:rsidRDefault="00045A2D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E833F1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неизолир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0381D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5998F7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2F68" w:rsidRPr="00E833F1" w14:paraId="7EA84079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508D4AE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RS485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ED408B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75FA88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BD11E87" w14:textId="08E60C1A" w:rsidR="00E833F1" w:rsidRPr="00E833F1" w:rsidRDefault="00045A2D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E833F1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неизолир</w:t>
            </w:r>
            <w:bookmarkStart w:id="0" w:name="_GoBack"/>
            <w:bookmarkEnd w:id="0"/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08D18E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0022DE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A2D" w:rsidRPr="00685A76" w14:paraId="1F4DE327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7BE5354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IO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8F6A3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EBDD9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EA0902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 GX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C6AE5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 GX 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(12)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11A08D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ED2929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MultiPlus-II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EasySolar-II GX</w:t>
            </w:r>
          </w:p>
        </w:tc>
      </w:tr>
      <w:tr w:rsidR="00CD21D9" w:rsidRPr="00E833F1" w14:paraId="546467F3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10093E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Программируемое реле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(7)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43F3A3C" w14:textId="60DA295F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1x 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разомкнутое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8A9D7CE" w14:textId="20A5E0E5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1x 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разомкнутое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замкнутое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(8)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6C8C2AB" w14:textId="249C17B5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1x 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разомкнутое</w:t>
            </w:r>
            <w:r w:rsidR="00045A2D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EE0E2E1" w14:textId="1A8BA5DD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 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разомкн.</w:t>
            </w:r>
            <w:r w:rsidR="00045A2D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04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замкнутое</w:t>
            </w:r>
            <w:r w:rsidR="00045A2D"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(8)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6C9387" w14:textId="681891C3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1D9" w:rsidRPr="00E833F1" w14:paraId="24B7181F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F4C12D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Резистивные входы уровня бака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A3A46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2E6E11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(9)</w:t>
            </w:r>
          </w:p>
        </w:tc>
        <w:tc>
          <w:tcPr>
            <w:tcW w:w="73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E55980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21D9" w:rsidRPr="00E833F1" w14:paraId="3C4A04C5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25183C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входы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D1F676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CE975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(10)</w:t>
            </w:r>
          </w:p>
        </w:tc>
        <w:tc>
          <w:tcPr>
            <w:tcW w:w="73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8908BA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21D9" w:rsidRPr="00E833F1" w14:paraId="5CF1FDE6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A5CC82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входы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9A39A5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46543B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BE489B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9842C7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A9A14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C9DCDE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5A2D" w:rsidRPr="00685A76" w14:paraId="35A0383C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AA6439C" w14:textId="33F4EBC3" w:rsidR="00E833F1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Производительность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77C967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1A4D7B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F4D08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 GX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9F0188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 GX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EA560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AF21F1B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MultiPlus-II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EasySolar-II GX</w:t>
            </w:r>
          </w:p>
        </w:tc>
      </w:tr>
      <w:tr w:rsidR="007A2F68" w:rsidRPr="00E833F1" w14:paraId="362B952D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9A1F26" w14:textId="01AA69EA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роцессор</w:t>
            </w:r>
          </w:p>
        </w:tc>
        <w:tc>
          <w:tcPr>
            <w:tcW w:w="7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9A9EE5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одноядерный</w:t>
            </w:r>
          </w:p>
        </w:tc>
        <w:tc>
          <w:tcPr>
            <w:tcW w:w="3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7294AE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четырехъядерный</w:t>
            </w:r>
          </w:p>
        </w:tc>
      </w:tr>
      <w:tr w:rsidR="00CD21D9" w:rsidRPr="00E833F1" w14:paraId="3D3FBD1C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106B298" w14:textId="170861A0" w:rsidR="00E833F1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8FE437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Мб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D6FFD3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512MB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50C7B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512MB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209C66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Мб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0DA6A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512MB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2C0105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512MB</w:t>
            </w:r>
          </w:p>
        </w:tc>
      </w:tr>
      <w:tr w:rsidR="00CD21D9" w:rsidRPr="00E833F1" w14:paraId="183B04EF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146BD67" w14:textId="7590EF64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 VE.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Direct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 </w:t>
            </w:r>
            <w:r w:rsidRPr="00E833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(1)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1DCF74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50736F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0D5335E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E20847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087026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67316B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45A2D" w:rsidRPr="00685A76" w14:paraId="34D6DC44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B390856" w14:textId="3C594E5F" w:rsidR="00E833F1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Характеристики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0197F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2FDEE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588487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 GX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852098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 GX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E444E4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D7B78D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MultiPlus-II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EasySolar-II GX</w:t>
            </w:r>
          </w:p>
        </w:tc>
      </w:tr>
      <w:tr w:rsidR="007A2F68" w:rsidRPr="00E833F1" w14:paraId="00FD5EB6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1CCFDBD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Напряжение питания</w:t>
            </w:r>
          </w:p>
        </w:tc>
        <w:tc>
          <w:tcPr>
            <w:tcW w:w="5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02EF7C1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8 - 70 В постоянного тока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4E3748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8 - 32 В постоянного тока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4F9B7C7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32 - 70 В постоянного тока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B0C469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питание без внешнего источника питания</w:t>
            </w:r>
          </w:p>
        </w:tc>
      </w:tr>
      <w:tr w:rsidR="00CD21D9" w:rsidRPr="00E833F1" w14:paraId="357CA1C6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3271AA7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36246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с панелью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2051E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крепление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8F4286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DIN-рейка (35 мм)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BDA99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1FE0F8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крепление IP65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065F2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</w:t>
            </w:r>
          </w:p>
        </w:tc>
      </w:tr>
      <w:tr w:rsidR="00CD21D9" w:rsidRPr="00E833F1" w14:paraId="6124E9F2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956FD87" w14:textId="39122014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размеры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48DA4A" w14:textId="657861C1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130х120х28 мм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EB3634" w14:textId="3127D551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45х143х96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8B4342" w14:textId="774F3144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61х108х90 мм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59FF0B4" w14:textId="3421F91C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3E1E5F0" w14:textId="2A9ECE0C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600х380х 210 мм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C3ED2AD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F68" w:rsidRPr="00E833F1" w14:paraId="20889995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2FE478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5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85CBD97" w14:textId="56BF0DA8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+50° C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E21636" w14:textId="55E8D02F" w:rsidR="00E833F1" w:rsidRPr="00E833F1" w:rsidRDefault="00E833F1" w:rsidP="00E83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+70° 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47ACC9D" w14:textId="1EE4F9FC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</w:t>
            </w:r>
            <w:r w:rsidR="00CD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+50° C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608895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F68" w:rsidRPr="00E833F1" w14:paraId="0355AD18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378A29A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 резервной батареей</w:t>
            </w:r>
          </w:p>
        </w:tc>
        <w:tc>
          <w:tcPr>
            <w:tcW w:w="5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602ADA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CC08D4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17B72D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7F1D3C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5A2D" w:rsidRPr="00685A76" w14:paraId="7E268CD1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DE2F9D" w14:textId="0FB7A7B3" w:rsidR="00E833F1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="00E833F1"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тандарты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ED54ED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CCGX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3F29E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Венера GX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A3891C3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Octo GX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3CBAC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CANvu GX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FD77049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 GX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6FB9F9A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MultiPlus-II GX 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EasySolar-II GX</w:t>
            </w:r>
          </w:p>
        </w:tc>
      </w:tr>
      <w:tr w:rsidR="00CD21D9" w:rsidRPr="00E833F1" w14:paraId="5137FC8A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7F51EC5" w14:textId="77777777" w:rsidR="00CD21D9" w:rsidRPr="00E833F1" w:rsidRDefault="00CD21D9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12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9C18C81" w14:textId="3D707426" w:rsidR="00CD21D9" w:rsidRPr="00E833F1" w:rsidRDefault="00CD21D9" w:rsidP="00C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60950</w:t>
            </w:r>
          </w:p>
        </w:tc>
      </w:tr>
      <w:tr w:rsidR="007A2F68" w:rsidRPr="00685A76" w14:paraId="272476EA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BE02581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EMC</w:t>
            </w:r>
          </w:p>
        </w:tc>
        <w:tc>
          <w:tcPr>
            <w:tcW w:w="954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10BAADF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 61000-6-3, EN 55014-1, EN 61000-6-2, EN 61000-6-1, EN 55014-2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7A6DACC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21D9" w:rsidRPr="00E833F1" w14:paraId="32C275A8" w14:textId="77777777" w:rsidTr="007E45A0">
        <w:tc>
          <w:tcPr>
            <w:tcW w:w="3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CF2A854" w14:textId="77777777" w:rsidR="00E833F1" w:rsidRPr="00E833F1" w:rsidRDefault="00E833F1" w:rsidP="00E8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43076A2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E4-10R-053535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43EFB5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выполнения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34FB7D6" w14:textId="1E24A6E1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4C78B7" w14:textId="7F22CDBE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BFD480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483266" w14:textId="77777777" w:rsidR="00E833F1" w:rsidRPr="00E833F1" w:rsidRDefault="00E833F1" w:rsidP="00E8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287895" w14:textId="77777777" w:rsidR="00E833F1" w:rsidRPr="00E833F1" w:rsidRDefault="00E833F1" w:rsidP="00E833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E833F1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Заметки</w:t>
      </w:r>
    </w:p>
    <w:p w14:paraId="50A6E211" w14:textId="12003C6F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Перечисленный максимум - общее количество подключенных устройств VE.Direct, таких как контроллеры солнечной зарядки MPPT. </w:t>
      </w:r>
      <w:r w:rsidR="00CD21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 устройства, подключенные напрямую, а также устройства, подключенные через USB. </w:t>
      </w:r>
      <w:r w:rsidR="00CD21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ависит от мощности процессора. Обратите внимание, что мониторинг PV Инвертор</w:t>
      </w:r>
      <w:r w:rsidR="00CD21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создает нагрузку. Обычно на CCGX можно контролировать до трех или четырех трехфазных инверторов. Более мощные процессорные устройства могут контролировать больше.</w:t>
      </w:r>
    </w:p>
    <w:p w14:paraId="2D3B7C45" w14:textId="40A7D26E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CCGX не имеет встроенного Wi-Fi, эту функциональность можно легко добавить, подключив USB-WiFi-ключ.</w:t>
      </w:r>
    </w:p>
    <w:p w14:paraId="5E1B3197" w14:textId="4101DE25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Встроенный WiFi в Venus GX имеет низкий уровень сигнала. Он достаточно силен, чтобы подключиться к телефону, планшету или ноутбуку, чтобы получить доступ к настройке и мониторингу. Но для подключения Venus GX к Интернету либо используйте встроенный порт Ethernet, либо добавьте ключ USB-WiFi. </w:t>
      </w:r>
    </w:p>
    <w:p w14:paraId="544A557B" w14:textId="1CBA8633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Аппаратное обеспечение Venus GX и Octo GX включает в себя встроенный чипсет Bluetooth Smart.</w:t>
      </w:r>
    </w:p>
    <w:p w14:paraId="42BE318A" w14:textId="77777777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Карты памяти SD большего размера (SDXC) не поддерживаются. SD-карты можно использовать для двух целей:</w:t>
      </w:r>
    </w:p>
    <w:p w14:paraId="157F5D84" w14:textId="58DC46E1" w:rsidR="00E833F1" w:rsidRPr="00E833F1" w:rsidRDefault="00E833F1" w:rsidP="00E833F1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Регистрация данных,</w:t>
      </w:r>
    </w:p>
    <w:p w14:paraId="52335763" w14:textId="1C3EEB2B" w:rsidR="00E833F1" w:rsidRPr="00E833F1" w:rsidRDefault="00E833F1" w:rsidP="00E833F1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Обновление прошивки</w:t>
      </w:r>
    </w:p>
    <w:p w14:paraId="16AC40EB" w14:textId="77777777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Второй порт CANbus доступен через клеммы GND, CAN-H и CAN-L. Обратите внимание, что порт не изолирован. См. Настройки → Сервисы для настройки этого порта.</w:t>
      </w:r>
    </w:p>
    <w:p w14:paraId="69432394" w14:textId="7E26C071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Программируемое реле может быть настроено для работы в качестве аварийного реле, </w:t>
      </w:r>
      <w:r w:rsidR="00183F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автозапуска генератора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включения / выключения и управляется через графический интерфейс пользователя и / или ModbusTCP.</w:t>
      </w:r>
    </w:p>
    <w:p w14:paraId="4FB8C50C" w14:textId="77777777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аппаратном обеспечении Venus GX есть два реле - в настоящее время доступно только одно из них.</w:t>
      </w:r>
    </w:p>
    <w:p w14:paraId="7E6C46DB" w14:textId="38F9C12F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Входы уровня бака являются резистивными и должны быть подключены к резистивному датчику бака. Victron не снабжает отправителей танков. Каждый порт уровня бака может быть настроен для работы с любым европейским (0 - 180 Ом); или американски</w:t>
      </w:r>
      <w:r w:rsidR="00183F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(240 - 30 Ом).</w:t>
      </w:r>
    </w:p>
    <w:p w14:paraId="1AE7362C" w14:textId="66C580EE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Venus GX имеет две температурные клеммы, которые можно использовать для измерения и контроля всех видов температурных входов. Требуется датчик ASS000001000 - датчик температуры QUA / PMP / Venus GX</w:t>
      </w:r>
      <w:r w:rsidR="00183F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3315FE24" w14:textId="75DA5251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Octo GX поставляется с небольшой Wifi-антенной. Вы можете удалить и заменить любой другой антенной Wi-Fi, имеющей разъем RP-SMA.</w:t>
      </w:r>
    </w:p>
    <w:p w14:paraId="6DC381D8" w14:textId="57787566" w:rsidR="00E833F1" w:rsidRPr="00E833F1" w:rsidRDefault="00E833F1" w:rsidP="00E833F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Требуется</w:t>
      </w:r>
      <w:r w:rsidR="00183F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комплект коммуникации.</w:t>
      </w:r>
      <w:r w:rsidR="00183F54" w:rsidRPr="00E833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DE6B065" w14:textId="77777777" w:rsidR="00B77C5D" w:rsidRDefault="00B77C5D"/>
    <w:sectPr w:rsidR="00B77C5D" w:rsidSect="00C0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6692"/>
    <w:multiLevelType w:val="multilevel"/>
    <w:tmpl w:val="7D1AD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F4D16"/>
    <w:multiLevelType w:val="multilevel"/>
    <w:tmpl w:val="2FFA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40106"/>
    <w:multiLevelType w:val="multilevel"/>
    <w:tmpl w:val="E0128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0E"/>
    <w:rsid w:val="00045A2D"/>
    <w:rsid w:val="0009640E"/>
    <w:rsid w:val="000E728A"/>
    <w:rsid w:val="00183F54"/>
    <w:rsid w:val="00685A76"/>
    <w:rsid w:val="007A2F68"/>
    <w:rsid w:val="007E45A0"/>
    <w:rsid w:val="00843B61"/>
    <w:rsid w:val="00A5464E"/>
    <w:rsid w:val="00B77C5D"/>
    <w:rsid w:val="00C03A21"/>
    <w:rsid w:val="00CD21D9"/>
    <w:rsid w:val="00DE1E29"/>
    <w:rsid w:val="00E4283D"/>
    <w:rsid w:val="00E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E019"/>
  <w15:chartTrackingRefBased/>
  <w15:docId w15:val="{BE1B02F1-1AFE-43C3-A095-6EB1123C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76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ronenergy.com/live/_media/ccgx:venusgx_product.pn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victronenergy.com/live/_media/ccgx:canvu_product.pn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victronenergy.com/live/_media/ccgx:multiplus-ii-gx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ictronenergy.com/live/_media/ccgx:ccgx_product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victronenergy.com/live/_media/ccgx:octogx_product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victronenergy.com/live/_media/venus-os:maxigx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BD4C-D1E2-4C41-B5D4-4A6EF558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11</cp:revision>
  <dcterms:created xsi:type="dcterms:W3CDTF">2019-06-08T19:59:00Z</dcterms:created>
  <dcterms:modified xsi:type="dcterms:W3CDTF">2019-06-13T18:58:00Z</dcterms:modified>
</cp:coreProperties>
</file>